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87F49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87F49">
              <w:rPr>
                <w:rFonts w:ascii="Times New Roman" w:eastAsia="Times New Roman" w:hAnsi="Times New Roman" w:cs="Nazanin"/>
                <w:sz w:val="24"/>
                <w:szCs w:val="24"/>
              </w:rPr>
              <w:t>TestAgeAll.RTX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8691E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محاسبه سن محاسباتي براي اضافه نرخ پزشكي</w:t>
            </w:r>
            <w:r w:rsidR="00187F49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="00187F4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كل سن ها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22/09/2010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8691E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ضريب پزشكي زير 1، مدت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8691E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ضريب پزشكي زير 1، مدت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98691E" w:rsidRDefault="0098691E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fn_LIFE_GetCurTariffID</w:t>
            </w:r>
            <w:r w:rsidRPr="0098691E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98691E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fn_LIFE_GetCalcID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4CC4"/>
    <w:rsid w:val="007838C4"/>
    <w:rsid w:val="00793F12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14</cp:revision>
  <cp:lastPrinted>2011-05-24T09:29:00Z</cp:lastPrinted>
  <dcterms:created xsi:type="dcterms:W3CDTF">2011-05-28T07:30:00Z</dcterms:created>
  <dcterms:modified xsi:type="dcterms:W3CDTF">2011-05-28T08:10:00Z</dcterms:modified>
</cp:coreProperties>
</file>